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61.png" ContentType="image/png"/>
  <Override PartName="/word/media/rId54.png" ContentType="image/png"/>
  <Override PartName="/word/media/rId34.png" ContentType="image/png"/>
  <Override PartName="/word/media/rId21.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2025-11-24</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60"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minimum. That is two say it may not be completely illogical to make comparisons between two metawebs, however it would be unwise to compare a metaweb to a theoretical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p>
      <w:pPr>
        <w:pStyle w:val="BodyText"/>
      </w:pPr>
      <w:r>
        <w:t xml:space="preserve">Across the four network models, turnover in species interactions varied substantially, revealing clear differences in how each model appraoches determining the presence of links between species pairs</w:t>
      </w:r>
      <w:r>
        <w:t xml:space="preserve"> </w:t>
      </w:r>
      <w:hyperlink w:anchor="fig-beta_div">
        <w:r>
          <w:rPr>
            <w:rStyle w:val="Hyperlink"/>
          </w:rPr>
          <w:t xml:space="preserve">Figure 4</w:t>
        </w:r>
      </w:hyperlink>
      <w:r>
        <w:t xml:space="preserve">. The log-ratio model consistently showed high turnover relative to all other approaches, indicating that it produces interaction pairs that are the most distinct from other models. In contrast the ADBM and l-matrix exhibited the lowest turnover and suggests strong agreement between how pairwise interactions are determined. This is unsurprising given the underlying inference mechanisms of the models. The PFIM displays an intermediate turnover, aligning most closely with log-ratio and least with ADBM and l-matrix. Although this result is unsurprising as the mechanisms that determine interactions in ADBM and l-matrix (a single trait (bodysize) + paramterisiation of links by ecological theory) is very different from the PFIM model that makes assumptions on a trait-based, mechanistic hierarchy. Taken together, these results demonstrate that model choice strongly influences inferred pairwise interactions.</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466725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6"/>
        </w:tc>
      </w:tr>
    </w:tbl>
    <w:p>
      <w:pPr>
        <w:pStyle w:val="BodyText"/>
      </w:pPr>
      <w:r>
        <w:t xml:space="preserve">In terms of how model choice will influence our inference - this will have the biggest consequence when thinking about diet related questions. In</w:t>
      </w:r>
      <w:r>
        <w:t xml:space="preserve"> </w:t>
      </w:r>
      <w:hyperlink w:anchor="fig-beta_div">
        <w:r>
          <w:rPr>
            <w:rStyle w:val="Hyperlink"/>
          </w:rPr>
          <w:t xml:space="preserve">Figure 4</w:t>
        </w:r>
      </w:hyperlink>
      <w:r>
        <w:t xml:space="preserve"> </w:t>
      </w:r>
      <w:r>
        <w:t xml:space="preserve">we can see that the ADBM and PFIM are recovering (almost) totally different pairwise links and so will have very different answers when we want to start interrogating the specific interactions that may established by a specific species within the network. Pragmatically when if comes to deciding which model is the most appropriate choice when ir comes to diet-based questions it makes sense to contextualise this in the feasible vs realised interaction spectrum.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w:t>
      </w:r>
    </w:p>
    <w:bookmarkEnd w:id="47"/>
    <w:bookmarkStart w:id="59" w:name="model-choice-changes-the-narrative"/>
    <w:p>
      <w:pPr>
        <w:pStyle w:val="Heading2"/>
      </w:pPr>
      <w:r>
        <w:t xml:space="preserve">3.4 Model choice changes the narrative</w:t>
      </w:r>
    </w:p>
    <w:p>
      <w:pPr>
        <w:pStyle w:val="FirstParagraph"/>
      </w:pPr>
      <w:r>
        <w:t xml:space="preserve">As shown in both</w:t>
      </w:r>
      <w:r>
        <w:t xml:space="preserve"> </w:t>
      </w:r>
      <w:hyperlink w:anchor="fig-structure">
        <w:r>
          <w:rPr>
            <w:rStyle w:val="Hyperlink"/>
          </w:rPr>
          <w:t xml:space="preserve">Figure 3</w:t>
        </w:r>
      </w:hyperlink>
      <w:r>
        <w:t xml:space="preserve"> </w:t>
      </w:r>
      <w:r>
        <w:t xml:space="preserve">and</w:t>
      </w:r>
      <w:r>
        <w:t xml:space="preserve"> </w:t>
      </w:r>
      <w:hyperlink w:anchor="fig-beta_div">
        <w:r>
          <w:rPr>
            <w:rStyle w:val="Hyperlink"/>
          </w:rPr>
          <w:t xml:space="preserve">Figure 4</w:t>
        </w:r>
      </w:hyperlink>
      <w:r>
        <w:t xml:space="preserve"> </w:t>
      </w:r>
      <w:r>
        <w:t xml:space="preserve">different models do indeed create networks that look different despite being created using the same species pool (or at least richness in the case of the Niche and Random models). As we have alluded to multiple times these underlying difference could have consequences on inferences that we make about the behaviour of the system. Here we will look at how model choice alters the inference we make about the underlying mechanisms that were driving extinctions in the Toarcian extinction event. Here we again we use we followed the approach outlined in</w:t>
      </w:r>
      <w:r>
        <w:t xml:space="preserve"> </w:t>
      </w:r>
      <w:r>
        <w:t xml:space="preserve">[4]</w:t>
      </w:r>
      <w:r>
        <w:t xml:space="preserve"> </w:t>
      </w:r>
      <w:r>
        <w:t xml:space="preserve">when simulating extinctions as well as assessing which extinction mechanism results in a simulated network most closely match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odyText"/>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6934200"/>
                  <wp:effectExtent b="0" l="0" r="0" t="0"/>
                  <wp:docPr descr="" title="" id="49" name="Picture"/>
                  <a:graphic>
                    <a:graphicData uri="http://schemas.openxmlformats.org/drawingml/2006/picture">
                      <pic:pic>
                        <pic:nvPicPr>
                          <pic:cNvPr descr="figures/time_structure.png" id="5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Start w:id="52" w:name="trends-over-time"/>
    <w:p>
      <w:pPr>
        <w:pStyle w:val="Heading3"/>
      </w:pPr>
      <w:r>
        <w:t xml:space="preserve">3.4.1 Trends over time</w:t>
      </w:r>
    </w:p>
    <w:p>
      <w:pPr>
        <w:pStyle w:val="FirstParagraph"/>
      </w:pPr>
      <w:r>
        <w:t xml:space="preserve">Generalized additive mixed modelling showed strong differences in both the magnitude and temporal dynamics of network structure across models. Model results indicated that both parametric and smooth terms significantly influenced network metrics across models, with some exceptions. For connectance, all parametric coefficients were negative except the intercept, and most smooth terms showed highly significant effects (p &lt; 0.05), except for the Niche (p = 0.48) and Random (p = 0.016) models. Complexity and generality similarly exhibited significant parametric and smooth effects, whereas for vulnerability, the smooth term the Random model was non-significant (p = 0.73). Trophic level effects varied among models: modellmatrix had a non-significant parametric effect (p = 0.89), while others were strongly significant. Across the motifs (S1, S2, S4, S5), most parametric and smooth effects were significant (p &lt; 0.05), though a few, such as the intercepts of S1 and S5were non-significant. Overall, these results indicate model- and metric-specific variation in both baseline (parametric) and temporal (smooth) effects, highlighting the importance of model structure in influences the observed temporal trends.</w:t>
      </w:r>
    </w:p>
    <w:bookmarkEnd w:id="52"/>
    <w:bookmarkStart w:id="58" w:name="inferred-extinction-drivers"/>
    <w:p>
      <w:pPr>
        <w:pStyle w:val="Heading3"/>
      </w:pPr>
      <w:r>
        <w:t xml:space="preserve">3.4.2 Inferred extinction drivers</w:t>
      </w:r>
    </w:p>
    <w:p>
      <w:pPr>
        <w:pStyle w:val="FirstParagraph"/>
      </w:pPr>
      <w:r>
        <w:t xml:space="preserve">To assess how consistently different modelling approaches evaluate extinction scenarios, we quantified the agreement in scenario rankings produced by multiple models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when calculating the TSS we only retained species that were present in both the pre and post extinction community and so any node-level mismatches between real and simulated networks was due to the wrong species being removed and not because new species were not.</w:t>
      </w:r>
    </w:p>
    <w:p>
      <w:pPr>
        <w:pStyle w:val="BodyText"/>
      </w:pPr>
      <w:bookmarkStart w:id="53"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3"/>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(i.e., 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(τ), which measures the degree of concordance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6</w:t>
        </w:r>
      </w:hyperlink>
      <w:r>
        <w:t xml:space="preserve"> </w:t>
      </w:r>
      <w:r>
        <w:t xml:space="preserve">we see that generally there is a positive correlation between the different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positive to observe that it is not often that we have a completely different ranking of extinction mechanisms, with the exception of complexity and the number of direct competition motifs. When looking at the macro-level network properties the random model often showcases a disagreement in terms of the MAD. This is unsurprising as we expect random networks to produce networks that are not ecologically sound and thus will not behave as one may expect</w:t>
      </w:r>
      <w:r>
        <w:t xml:space="preserve"> </w:t>
      </w:r>
      <w:r>
        <w:t xml:space="preserve">[33]</w:t>
      </w:r>
      <w:r>
        <w:t xml:space="preserve">. Interestingly we once again see the strong similarity between the l-matrix and the ADBM (have a high Kendall’s τ). meaning that they recover a similar ranking of extinction mechanisms, this is unsurprising given that we know these networks tend to recover a similar structure</w:t>
      </w:r>
      <w:r>
        <w:t xml:space="preserve"> </w:t>
      </w:r>
      <w:hyperlink w:anchor="fig-marginal">
        <w:r>
          <w:rPr>
            <w:rStyle w:val="Hyperlink"/>
          </w:rPr>
          <w:t xml:space="preserve">Figure 2</w:t>
        </w:r>
      </w:hyperlink>
      <w:r>
        <w:t xml:space="preserve">. Broadly when we look at the behaviour of the different model families (with the exception of the Random model) we see that they recover similar structural signals with regards to the mechanisms potentially driving extinctions.</w:t>
      </w:r>
    </w:p>
    <w:tbl>
      <w:tblPr>
        <w:tblStyle w:val="Table"/>
        <w:tblW w:type="pct" w:w="5000"/>
        <w:tblLayout w:type="fixed"/>
        <w:tblLook w:firstRow="0" w:lastRow="0" w:firstColumn="0" w:lastColumn="0" w:noHBand="0" w:noVBand="0" w:val="0000"/>
      </w:tblPr>
      <w:tblGrid>
        <w:gridCol w:w="7920"/>
      </w:tblGrid>
      <w:tr>
        <w:tc>
          <w:tcPr/>
          <w:bookmarkStart w:id="57" w:name="fig-mad"/>
          <w:p>
            <w:pPr>
              <w:pStyle w:val="Compact"/>
              <w:jc w:val="center"/>
            </w:pPr>
            <w:r>
              <w:drawing>
                <wp:inline>
                  <wp:extent cx="5334000" cy="8001000"/>
                  <wp:effectExtent b="0" l="0" r="0" t="0"/>
                  <wp:docPr descr="" title="" id="55" name="Picture"/>
                  <a:graphic>
                    <a:graphicData uri="http://schemas.openxmlformats.org/drawingml/2006/picture">
                      <pic:pic>
                        <pic:nvPicPr>
                          <pic:cNvPr descr="figures/kendal_tau.png" id="56" name="Picture"/>
                          <pic:cNvPicPr>
                            <a:picLocks noChangeArrowheads="1" noChangeAspect="1"/>
                          </pic:cNvPicPr>
                        </pic:nvPicPr>
                        <pic:blipFill>
                          <a:blip r:embed="rId54"/>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7"/>
        </w:tc>
      </w:tr>
    </w:tbl>
    <w:p>
      <w:pPr>
        <w:pStyle w:val="BodyText"/>
      </w:pPr>
      <w:r>
        <w:t xml:space="preserve">When looking at the node-level TSS scores (</w:t>
      </w:r>
      <w:hyperlink w:anchor="fig-mad">
        <w:r>
          <w:rPr>
            <w:rStyle w:val="Hyperlink"/>
          </w:rPr>
          <w:t xml:space="preserve">Figure 6</w:t>
        </w:r>
      </w:hyperlink>
      <w:r>
        <w:t xml:space="preserve">, TSS, panel 2) we see that in general the signal of the extinction mechanism is maintained across the different models. However as many of the extinction mechanisms are determine by the</w:t>
      </w:r>
      <w:r>
        <w:t xml:space="preserve"> </w:t>
      </w:r>
      <w:r>
        <w:rPr>
          <w:i/>
          <w:iCs/>
        </w:rPr>
        <w:t xml:space="preserve">traits</w:t>
      </w:r>
      <w:r>
        <w:t xml:space="preserve"> </w:t>
      </w:r>
      <w:r>
        <w:t xml:space="preserve">of the node it is not surprising that we see a similar signal as the species are being removed in the exact same order. The only two extinction mechanisms that are driven by The link-level TSS scores (</w:t>
      </w:r>
      <w:hyperlink w:anchor="fig-mad">
        <w:r>
          <w:rPr>
            <w:rStyle w:val="Hyperlink"/>
          </w:rPr>
          <w:t xml:space="preserve">Figure 6</w:t>
        </w:r>
      </w:hyperlink>
      <w:r>
        <w:t xml:space="preserve">, TSS, panel 1) do not show the same signal within extinction mechanism.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w:t>
      </w:r>
      <w:r>
        <w:t xml:space="preserve"> </w:t>
      </w:r>
      <w:r>
        <w:t xml:space="preserve">‘noise’</w:t>
      </w:r>
      <w:r>
        <w:t xml:space="preserve"> </w:t>
      </w:r>
      <w:r>
        <w:t xml:space="preserve">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bookmarkEnd w:id="58"/>
    <w:bookmarkEnd w:id="59"/>
    <w:bookmarkEnd w:id="60"/>
    <w:bookmarkStart w:id="65"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7</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4" w:name="fig-guidelines"/>
          <w:p>
            <w:pPr>
              <w:pStyle w:val="Compact"/>
              <w:jc w:val="center"/>
            </w:pPr>
            <w:r>
              <w:drawing>
                <wp:inline>
                  <wp:extent cx="5334000" cy="7112000"/>
                  <wp:effectExtent b="0" l="0" r="0" t="0"/>
                  <wp:docPr descr="" title="" id="62" name="Picture"/>
                  <a:graphic>
                    <a:graphicData uri="http://schemas.openxmlformats.org/drawingml/2006/picture">
                      <pic:pic>
                        <pic:nvPicPr>
                          <pic:cNvPr descr="figures/guidelines.png" id="63" name="Picture"/>
                          <pic:cNvPicPr>
                            <a:picLocks noChangeArrowheads="1" noChangeAspect="1"/>
                          </pic:cNvPicPr>
                        </pic:nvPicPr>
                        <pic:blipFill>
                          <a:blip r:embed="rId61"/>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TODO.</w:t>
            </w:r>
          </w:p>
          <w:bookmarkEnd w:id="64"/>
        </w:tc>
      </w:tr>
    </w:tbl>
    <w:bookmarkEnd w:id="65"/>
    <w:bookmarkStart w:id="132" w:name="references"/>
    <w:p>
      <w:pPr>
        <w:pStyle w:val="Heading1"/>
      </w:pPr>
      <w:r>
        <w:t xml:space="preserve">References</w:t>
      </w:r>
    </w:p>
    <w:bookmarkStart w:id="131"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jordano2016"/>
    <w:p>
      <w:pPr>
        <w:pStyle w:val="Bibliography"/>
      </w:pPr>
      <w:r>
        <w:t xml:space="preserve">7.</w:t>
      </w:r>
      <w:r>
        <w:t xml:space="preserve"> </w:t>
      </w:r>
      <w:r>
        <w:t xml:space="preserve">	</w:t>
      </w:r>
      <w:r>
        <w:t xml:space="preserve">Jordano, P. (2016)</w:t>
      </w:r>
      <w:r>
        <w:t xml:space="preserve"> </w:t>
      </w:r>
      <w:hyperlink r:id="rId78">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9"/>
    <w:bookmarkStart w:id="81"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1"/>
    <w:bookmarkStart w:id="83" w:name="ref-pichler2023"/>
    <w:p>
      <w:pPr>
        <w:pStyle w:val="Bibliography"/>
      </w:pPr>
      <w:r>
        <w:t xml:space="preserve">9.</w:t>
      </w:r>
      <w:r>
        <w:t xml:space="preserve"> </w:t>
      </w:r>
      <w:r>
        <w:t xml:space="preserve">	</w:t>
      </w:r>
      <w:r>
        <w:t xml:space="preserve">Pichler, M. and Hartig, F. (2023)</w:t>
      </w:r>
      <w:r>
        <w:t xml:space="preserve"> </w:t>
      </w:r>
      <w:hyperlink r:id="rId82">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3"/>
    <w:bookmarkStart w:id="85"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5"/>
    <w:bookmarkStart w:id="87"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6">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7"/>
    <w:bookmarkStart w:id="89"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8">
        <w:r>
          <w:rPr>
            <w:rStyle w:val="Hyperlink"/>
          </w:rPr>
          <w:t xml:space="preserve">A framework for reconstructing ancient food webs using functional trait data</w:t>
        </w:r>
      </w:hyperlink>
      <w:r>
        <w:t xml:space="preserve">bioRxiv, 2024.01.30.578036</w:t>
      </w:r>
    </w:p>
    <w:bookmarkEnd w:id="89"/>
    <w:bookmarkStart w:id="91" w:name="ref-roopnarine2006"/>
    <w:p>
      <w:pPr>
        <w:pStyle w:val="Bibliography"/>
      </w:pPr>
      <w:r>
        <w:t xml:space="preserve">13.</w:t>
      </w:r>
      <w:r>
        <w:t xml:space="preserve"> </w:t>
      </w:r>
      <w:r>
        <w:t xml:space="preserve">	</w:t>
      </w:r>
      <w:r>
        <w:t xml:space="preserve">Roopnarine, P.D. (2006)</w:t>
      </w:r>
      <w:r>
        <w:t xml:space="preserve"> </w:t>
      </w:r>
      <w:hyperlink r:id="rId90">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1"/>
    <w:bookmarkStart w:id="93"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2">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3"/>
    <w:bookmarkStart w:id="95"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4">
        <w:r>
          <w:rPr>
            <w:rStyle w:val="Hyperlink"/>
          </w:rPr>
          <w:t xml:space="preserve">10.1038/s44358-025-00056-7</w:t>
        </w:r>
      </w:hyperlink>
    </w:p>
    <w:bookmarkEnd w:id="95"/>
    <w:bookmarkStart w:id="97"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6">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7"/>
    <w:bookmarkStart w:id="99" w:name="ref-erdos1959"/>
    <w:p>
      <w:pPr>
        <w:pStyle w:val="Bibliography"/>
      </w:pPr>
      <w:r>
        <w:t xml:space="preserve">17.</w:t>
      </w:r>
      <w:r>
        <w:t xml:space="preserve"> </w:t>
      </w:r>
      <w:r>
        <w:t xml:space="preserve">	</w:t>
      </w:r>
      <w:r>
        <w:t xml:space="preserve">Erdős, P. and Rényi, A. (1959)</w:t>
      </w:r>
      <w:r>
        <w:t xml:space="preserve"> </w:t>
      </w:r>
      <w:hyperlink r:id="rId98">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9"/>
    <w:bookmarkStart w:id="101" w:name="ref-williams2008"/>
    <w:p>
      <w:pPr>
        <w:pStyle w:val="Bibliography"/>
      </w:pPr>
      <w:r>
        <w:t xml:space="preserve">18.</w:t>
      </w:r>
      <w:r>
        <w:t xml:space="preserve"> </w:t>
      </w:r>
      <w:r>
        <w:t xml:space="preserve">	</w:t>
      </w:r>
      <w:r>
        <w:t xml:space="preserve">Williams, R.J. and Martinez, N.D. (2008)</w:t>
      </w:r>
      <w:r>
        <w:t xml:space="preserve"> </w:t>
      </w:r>
      <w:hyperlink r:id="rId10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1"/>
    <w:bookmarkStart w:id="103"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3"/>
    <w:bookmarkStart w:id="105"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4">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5"/>
    <w:bookmarkStart w:id="107"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7"/>
    <w:bookmarkStart w:id="109"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8">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9"/>
    <w:bookmarkStart w:id="111"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0">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1"/>
    <w:bookmarkStart w:id="113"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2">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williams2000"/>
    <w:p>
      <w:pPr>
        <w:pStyle w:val="Bibliography"/>
      </w:pPr>
      <w:r>
        <w:t xml:space="preserve">27.</w:t>
      </w:r>
      <w:r>
        <w:t xml:space="preserve"> </w:t>
      </w:r>
      <w:r>
        <w:t xml:space="preserve">	</w:t>
      </w:r>
      <w:r>
        <w:t xml:space="preserve">Williams, R.J. and Martinez, N.D. (2000)</w:t>
      </w:r>
      <w:r>
        <w:t xml:space="preserve"> </w:t>
      </w:r>
      <w:hyperlink r:id="rId11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9"/>
    <w:bookmarkStart w:id="120"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20"/>
    <w:bookmarkStart w:id="122"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1">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2"/>
    <w:bookmarkStart w:id="124"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3">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4"/>
    <w:bookmarkStart w:id="126"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5">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6"/>
    <w:bookmarkStart w:id="128"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8"/>
    <w:bookmarkStart w:id="130" w:name="ref-ings2009"/>
    <w:p>
      <w:pPr>
        <w:pStyle w:val="Bibliography"/>
      </w:pPr>
      <w:r>
        <w:t xml:space="preserve">33.</w:t>
      </w:r>
      <w:r>
        <w:t xml:space="preserve"> </w:t>
      </w:r>
      <w:r>
        <w:t xml:space="preserve">	</w:t>
      </w:r>
      <w:r>
        <w:t xml:space="preserve">Ings, T.C.</w:t>
      </w:r>
      <w:r>
        <w:t xml:space="preserve"> </w:t>
      </w:r>
      <w:r>
        <w:rPr>
          <w:i/>
          <w:iCs/>
        </w:rPr>
        <w:t xml:space="preserve">et al.</w:t>
      </w:r>
      <w:r>
        <w:t xml:space="preserve"> </w:t>
      </w:r>
      <w:r>
        <w:t xml:space="preserve">(2009)</w:t>
      </w:r>
      <w:r>
        <w:t xml:space="preserve"> </w:t>
      </w:r>
      <w:hyperlink r:id="rId129">
        <w:r>
          <w:rPr>
            <w:rStyle w:val="Hyperlink"/>
          </w:rPr>
          <w:t xml:space="preserve">Ecological networks–beyond food webs</w:t>
        </w:r>
      </w:hyperlink>
      <w:r>
        <w:t xml:space="preserve">.</w:t>
      </w:r>
      <w:r>
        <w:t xml:space="preserve"> </w:t>
      </w:r>
      <w:r>
        <w:rPr>
          <w:i/>
          <w:iCs/>
        </w:rPr>
        <w:t xml:space="preserve">The Journal of Animal Ecology</w:t>
      </w:r>
      <w:r>
        <w:t xml:space="preserve"> </w:t>
      </w:r>
      <w:r>
        <w:t xml:space="preserve">78, 253–269</w:t>
      </w:r>
    </w:p>
    <w:bookmarkEnd w:id="130"/>
    <w:bookmarkEnd w:id="131"/>
    <w:bookmarkEnd w:id="13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29" Target="https://doi.org/10.1111/j.1365-2656.2008.01460.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29" Target="https://doi.org/10.1111/j.1365-2656.2008.01460.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2025-11-24T12:53:06Z</dcterms:created>
  <dcterms:modified xsi:type="dcterms:W3CDTF">2025-11-24T12:53:06Z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2025-11-24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